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ext"/>
        <w:bidi w:val="0"/>
      </w:pPr>
      <w:r>
        <w:rPr>
          <w:rtl w:val="0"/>
        </w:rPr>
        <w:t>Layoute als zusammenh</w:t>
      </w:r>
      <w:r>
        <w:rPr>
          <w:rtl w:val="0"/>
        </w:rPr>
        <w:t>ä</w:t>
      </w:r>
      <w:r>
        <w:rPr>
          <w:rtl w:val="0"/>
        </w:rPr>
        <w:t>ngender Text</w:t>
      </w:r>
    </w:p>
    <w:p>
      <w:pPr>
        <w:pStyle w:val="Text"/>
        <w:bidi w:val="0"/>
      </w:pP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Ich bin ein Unternehmen, das nach AI Act in der 2. h</w:t>
      </w:r>
      <w:r>
        <w:rPr>
          <w:rtl w:val="0"/>
          <w:lang w:val="sv-SE"/>
        </w:rPr>
        <w:t>ö</w:t>
      </w:r>
      <w:r>
        <w:rPr>
          <w:rtl w:val="0"/>
        </w:rPr>
        <w:t>chsten Risikoklasse arbeitet. Ich habe die Normen, kann den Einsatz von KI transparen aufzeigen und erf</w:t>
      </w:r>
      <w:r>
        <w:rPr>
          <w:rtl w:val="0"/>
        </w:rPr>
        <w:t>ü</w:t>
      </w:r>
      <w:r>
        <w:rPr>
          <w:rtl w:val="0"/>
        </w:rPr>
        <w:t>lle die Dokumentationsanforderungen. Wie bereite ich mich auf Anwendungspr</w:t>
      </w:r>
      <w:r>
        <w:rPr>
          <w:rtl w:val="0"/>
        </w:rPr>
        <w:t>ü</w:t>
      </w:r>
      <w:r>
        <w:rPr>
          <w:rtl w:val="0"/>
        </w:rPr>
        <w:t>fung vor?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Antwort</w:t>
      </w:r>
    </w:p>
    <w:p>
      <w:pPr>
        <w:pStyle w:val="Text"/>
        <w:bidi w:val="0"/>
      </w:pPr>
      <w:r>
        <w:rPr>
          <w:rtl w:val="0"/>
        </w:rPr>
        <w:t>Vorbereitung auf die Anwendungspr</w:t>
      </w:r>
      <w:r>
        <w:rPr>
          <w:rtl w:val="0"/>
        </w:rPr>
        <w:t>ü</w:t>
      </w:r>
      <w:r>
        <w:rPr>
          <w:rtl w:val="0"/>
        </w:rPr>
        <w:t>fung gem</w:t>
      </w:r>
      <w:r>
        <w:rPr>
          <w:rtl w:val="0"/>
        </w:rPr>
        <w:t xml:space="preserve">äß </w:t>
      </w:r>
      <w:r>
        <w:rPr>
          <w:rtl w:val="0"/>
          <w:lang w:val="en-US"/>
        </w:rPr>
        <w:t>EU AI Act f</w:t>
      </w:r>
      <w:r>
        <w:rPr>
          <w:rtl w:val="0"/>
        </w:rPr>
        <w:t>ü</w:t>
      </w:r>
      <w:r>
        <w:rPr>
          <w:rtl w:val="0"/>
        </w:rPr>
        <w:t>r Unternehmen der zweiten Risikoklasse</w:t>
      </w:r>
    </w:p>
    <w:p>
      <w:pPr>
        <w:pStyle w:val="Text"/>
        <w:bidi w:val="0"/>
      </w:pPr>
      <w:r>
        <w:rPr>
          <w:rtl w:val="0"/>
        </w:rPr>
        <w:t>Als Unternehmen der zweith</w:t>
      </w:r>
      <w:r>
        <w:rPr>
          <w:rtl w:val="0"/>
          <w:lang w:val="sv-SE"/>
        </w:rPr>
        <w:t>ö</w:t>
      </w:r>
      <w:r>
        <w:rPr>
          <w:rtl w:val="0"/>
        </w:rPr>
        <w:t>chsten Risikoklasse gem</w:t>
      </w:r>
      <w:r>
        <w:rPr>
          <w:rtl w:val="0"/>
        </w:rPr>
        <w:t xml:space="preserve">äß </w:t>
      </w:r>
      <w:r>
        <w:rPr>
          <w:rtl w:val="0"/>
        </w:rPr>
        <w:t>EU AI Act haben Sie bereits wesentliche Compliance-Grundlagen geschaffen. Die systematische Vorbereitung auf die regulatorische Pr</w:t>
      </w:r>
      <w:r>
        <w:rPr>
          <w:rtl w:val="0"/>
        </w:rPr>
        <w:t>ü</w:t>
      </w:r>
      <w:r>
        <w:rPr>
          <w:rtl w:val="0"/>
        </w:rPr>
        <w:t>fung erfordert jedoch eine vertiefte Integration technischer, organisatorischer und dokumentarischer Prozesse. Dieser Bericht strukturiert die notwendigen Ma</w:t>
      </w:r>
      <w:r>
        <w:rPr>
          <w:rtl w:val="0"/>
        </w:rPr>
        <w:t>ß</w:t>
      </w:r>
      <w:r>
        <w:rPr>
          <w:rtl w:val="0"/>
        </w:rPr>
        <w:t>nahmen entlang der regulatorischen Anforderungen und betrieblichen Praxis.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Einf</w:t>
      </w:r>
      <w:r>
        <w:rPr>
          <w:rtl w:val="0"/>
        </w:rPr>
        <w:t>ü</w:t>
      </w:r>
      <w:r>
        <w:rPr>
          <w:rtl w:val="0"/>
        </w:rPr>
        <w:t>hrung: Strategische Bedeutung der Auditvorbereitung</w:t>
      </w:r>
    </w:p>
    <w:p>
      <w:pPr>
        <w:pStyle w:val="Text"/>
        <w:bidi w:val="0"/>
      </w:pPr>
      <w:r>
        <w:rPr>
          <w:rtl w:val="0"/>
        </w:rPr>
        <w:t>Der EU AI Act etabliert ab 2025 gestaffelte Pr</w:t>
      </w:r>
      <w:r>
        <w:rPr>
          <w:rtl w:val="0"/>
        </w:rPr>
        <w:t>ü</w:t>
      </w:r>
      <w:r>
        <w:rPr>
          <w:rtl w:val="0"/>
        </w:rPr>
        <w:t>fungsmechanismen f</w:t>
      </w:r>
      <w:r>
        <w:rPr>
          <w:rtl w:val="0"/>
        </w:rPr>
        <w:t>ü</w:t>
      </w:r>
      <w:r>
        <w:rPr>
          <w:rtl w:val="0"/>
        </w:rPr>
        <w:t>r Hochrisiko-KI-Systeme. F</w:t>
      </w:r>
      <w:r>
        <w:rPr>
          <w:rtl w:val="0"/>
        </w:rPr>
        <w:t>ü</w:t>
      </w:r>
      <w:r>
        <w:rPr>
          <w:rtl w:val="0"/>
        </w:rPr>
        <w:t>r Unternehmen der zweiten Risikostufe (z. B. KI-gesteuerte Personalauswahl, automatisierte Kreditentscheidungen) impliziert dies regelm</w:t>
      </w:r>
      <w:r>
        <w:rPr>
          <w:rtl w:val="0"/>
        </w:rPr>
        <w:t>äß</w:t>
      </w:r>
      <w:r>
        <w:rPr>
          <w:rtl w:val="0"/>
        </w:rPr>
        <w:t>ige Konformit</w:t>
      </w:r>
      <w:r>
        <w:rPr>
          <w:rtl w:val="0"/>
        </w:rPr>
        <w:t>ä</w:t>
      </w:r>
      <w:r>
        <w:rPr>
          <w:rtl w:val="0"/>
        </w:rPr>
        <w:t>tsnachweise durch interne und externe Audits1315. Eine proaktive Vorbereitung minimiert nicht nur regulatorische Risiken, sondern st</w:t>
      </w:r>
      <w:r>
        <w:rPr>
          <w:rtl w:val="0"/>
        </w:rPr>
        <w:t>ä</w:t>
      </w:r>
      <w:r>
        <w:rPr>
          <w:rtl w:val="0"/>
        </w:rPr>
        <w:t>rkt auch die operative Resilienz und Kundenakzeptanz.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Systematische Auditvorbereitung in f</w:t>
      </w:r>
      <w:r>
        <w:rPr>
          <w:rtl w:val="0"/>
        </w:rPr>
        <w:t>ü</w:t>
      </w:r>
      <w:r>
        <w:rPr>
          <w:rtl w:val="0"/>
        </w:rPr>
        <w:t>nf Phasen</w:t>
      </w:r>
    </w:p>
    <w:p>
      <w:pPr>
        <w:pStyle w:val="Text"/>
        <w:bidi w:val="0"/>
      </w:pPr>
      <w:r>
        <w:rPr>
          <w:rtl w:val="0"/>
        </w:rPr>
        <w:t>1. Validierung der technischen Dokumentation</w:t>
      </w:r>
    </w:p>
    <w:p>
      <w:pPr>
        <w:pStyle w:val="Text"/>
        <w:bidi w:val="0"/>
      </w:pPr>
      <w:r>
        <w:rPr>
          <w:rtl w:val="0"/>
        </w:rPr>
        <w:t>Die technische Dokumentation bildet das R</w:t>
      </w:r>
      <w:r>
        <w:rPr>
          <w:rtl w:val="0"/>
        </w:rPr>
        <w:t>ü</w:t>
      </w:r>
      <w:r>
        <w:rPr>
          <w:rtl w:val="0"/>
        </w:rPr>
        <w:t xml:space="preserve">ckgrat des Compliance-Nachweises. </w:t>
      </w:r>
      <w:r>
        <w:rPr>
          <w:rtl w:val="0"/>
        </w:rPr>
        <w:t>Ü</w:t>
      </w:r>
      <w:r>
        <w:rPr>
          <w:rtl w:val="0"/>
        </w:rPr>
        <w:t>berpr</w:t>
      </w:r>
      <w:r>
        <w:rPr>
          <w:rtl w:val="0"/>
        </w:rPr>
        <w:t>ü</w:t>
      </w:r>
      <w:r>
        <w:rPr>
          <w:rtl w:val="0"/>
        </w:rPr>
        <w:t>fen Sie: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Vollst</w:t>
      </w:r>
      <w:r>
        <w:rPr>
          <w:rtl w:val="0"/>
        </w:rPr>
        <w:t>ä</w:t>
      </w:r>
      <w:r>
        <w:rPr>
          <w:rtl w:val="0"/>
        </w:rPr>
        <w:t>ndigkeit: Enth</w:t>
      </w:r>
      <w:r>
        <w:rPr>
          <w:rtl w:val="0"/>
        </w:rPr>
        <w:t>ä</w:t>
      </w:r>
      <w:r>
        <w:rPr>
          <w:rtl w:val="0"/>
        </w:rPr>
        <w:t>lt die Dokumentation alle in Anhang IV AI Act geforderten Elemente (Systembeschreibung, Entwicklungsprozess, Risikomanagementprotokolle)?39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Nachvollziehbarkeit: Sind Datenherkunft, Trainingsmethoden und Algorithmen so beschrieben, dass Dritte die Systemlogik reproduzieren k</w:t>
      </w:r>
      <w:r>
        <w:rPr>
          <w:rtl w:val="0"/>
          <w:lang w:val="sv-SE"/>
        </w:rPr>
        <w:t>ö</w:t>
      </w:r>
      <w:r>
        <w:rPr>
          <w:rtl w:val="0"/>
        </w:rPr>
        <w:t>nnten?612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Aktualit</w:t>
      </w:r>
      <w:r>
        <w:rPr>
          <w:rtl w:val="0"/>
        </w:rPr>
        <w:t>ä</w:t>
      </w:r>
      <w:r>
        <w:rPr>
          <w:rtl w:val="0"/>
        </w:rPr>
        <w:t xml:space="preserve">t: Wurden </w:t>
      </w:r>
      <w:r>
        <w:rPr>
          <w:rtl w:val="0"/>
          <w:lang w:val="sv-SE"/>
        </w:rPr>
        <w:t>Ä</w:t>
      </w:r>
      <w:r>
        <w:rPr>
          <w:rtl w:val="0"/>
        </w:rPr>
        <w:t>nderungen am KI-System (Updates, Anpassungen) gem</w:t>
      </w:r>
      <w:r>
        <w:rPr>
          <w:rtl w:val="0"/>
        </w:rPr>
        <w:t xml:space="preserve">äß </w:t>
      </w:r>
      <w:r>
        <w:rPr>
          <w:rtl w:val="0"/>
        </w:rPr>
        <w:t>Artikel 61 l</w:t>
      </w:r>
      <w:r>
        <w:rPr>
          <w:rtl w:val="0"/>
        </w:rPr>
        <w:t>ü</w:t>
      </w:r>
      <w:r>
        <w:rPr>
          <w:rtl w:val="0"/>
        </w:rPr>
        <w:t>ckenlos protokolliert?1217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Beispiel: Ein KI-gesteuertes Recruiting-Tool muss dokumentieren, wie Bias-Erkennungsmechanismen in jedem Entwicklungszyklus integriert wurden59.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2. Implementierung eines pr</w:t>
      </w:r>
      <w:r>
        <w:rPr>
          <w:rtl w:val="0"/>
        </w:rPr>
        <w:t>ü</w:t>
      </w:r>
      <w:r>
        <w:rPr>
          <w:rtl w:val="0"/>
        </w:rPr>
        <w:t>fungsf</w:t>
      </w:r>
      <w:r>
        <w:rPr>
          <w:rtl w:val="0"/>
        </w:rPr>
        <w:t>ä</w:t>
      </w:r>
      <w:r>
        <w:rPr>
          <w:rtl w:val="0"/>
        </w:rPr>
        <w:t>higen Risikomanagements</w:t>
      </w:r>
    </w:p>
    <w:p>
      <w:pPr>
        <w:pStyle w:val="Text"/>
        <w:bidi w:val="0"/>
      </w:pPr>
      <w:r>
        <w:rPr>
          <w:rtl w:val="0"/>
        </w:rPr>
        <w:t>Das Risikomanagementsystem muss gem</w:t>
      </w:r>
      <w:r>
        <w:rPr>
          <w:rtl w:val="0"/>
        </w:rPr>
        <w:t xml:space="preserve">äß </w:t>
      </w:r>
      <w:r>
        <w:rPr>
          <w:rtl w:val="0"/>
        </w:rPr>
        <w:t>Artikel 9 nicht nur identifizierte Gefahren adressieren, sondern auch pr</w:t>
      </w:r>
      <w:r>
        <w:rPr>
          <w:rtl w:val="0"/>
        </w:rPr>
        <w:t>ä</w:t>
      </w:r>
      <w:r>
        <w:rPr>
          <w:rtl w:val="0"/>
          <w:lang w:val="it-IT"/>
        </w:rPr>
        <w:t>ventive Ma</w:t>
      </w:r>
      <w:r>
        <w:rPr>
          <w:rtl w:val="0"/>
        </w:rPr>
        <w:t>ß</w:t>
      </w:r>
      <w:r>
        <w:rPr>
          <w:rtl w:val="0"/>
        </w:rPr>
        <w:t>nahmen f</w:t>
      </w:r>
      <w:r>
        <w:rPr>
          <w:rtl w:val="0"/>
        </w:rPr>
        <w:t>ü</w:t>
      </w:r>
      <w:r>
        <w:rPr>
          <w:rtl w:val="0"/>
        </w:rPr>
        <w:t>r zuk</w:t>
      </w:r>
      <w:r>
        <w:rPr>
          <w:rtl w:val="0"/>
        </w:rPr>
        <w:t>ü</w:t>
      </w:r>
      <w:r>
        <w:rPr>
          <w:rtl w:val="0"/>
        </w:rPr>
        <w:t>nftige Szenarien enthalten: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Risikomatrix: Quantifizieren Sie Eintrittswahrscheinlichkeit und Schadensausma</w:t>
      </w:r>
      <w:r>
        <w:rPr>
          <w:rtl w:val="0"/>
        </w:rPr>
        <w:t xml:space="preserve">ß </w:t>
      </w:r>
      <w:r>
        <w:rPr>
          <w:rtl w:val="0"/>
        </w:rPr>
        <w:t>f</w:t>
      </w:r>
      <w:r>
        <w:rPr>
          <w:rtl w:val="0"/>
        </w:rPr>
        <w:t>ü</w:t>
      </w:r>
      <w:r>
        <w:rPr>
          <w:rtl w:val="0"/>
        </w:rPr>
        <w:t>r jeden identifizierten Risikofaktor (z. B. Diskriminierungsrisiko bei CV-Screening)715.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Eskalationspfade: Definieren Sie klare Verantwortlichkeiten f</w:t>
      </w:r>
      <w:r>
        <w:rPr>
          <w:rtl w:val="0"/>
        </w:rPr>
        <w:t>ü</w:t>
      </w:r>
      <w:r>
        <w:rPr>
          <w:rtl w:val="0"/>
        </w:rPr>
        <w:t xml:space="preserve">r Risikomeldungen </w:t>
      </w:r>
      <w:r>
        <w:rPr>
          <w:rtl w:val="0"/>
        </w:rPr>
        <w:t xml:space="preserve">– </w:t>
      </w:r>
      <w:r>
        <w:rPr>
          <w:rtl w:val="0"/>
        </w:rPr>
        <w:t>vom Entwicklerteam bis zur Gesch</w:t>
      </w:r>
      <w:r>
        <w:rPr>
          <w:rtl w:val="0"/>
        </w:rPr>
        <w:t>ä</w:t>
      </w:r>
      <w:r>
        <w:rPr>
          <w:rtl w:val="0"/>
        </w:rPr>
        <w:t>ftsf</w:t>
      </w:r>
      <w:r>
        <w:rPr>
          <w:rtl w:val="0"/>
        </w:rPr>
        <w:t>ü</w:t>
      </w:r>
      <w:r>
        <w:rPr>
          <w:rtl w:val="0"/>
        </w:rPr>
        <w:t>hrung1016.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  <w:lang w:val="en-US"/>
        </w:rPr>
        <w:t>Simulationstests: F</w:t>
      </w:r>
      <w:r>
        <w:rPr>
          <w:rtl w:val="0"/>
        </w:rPr>
        <w:t>ü</w:t>
      </w:r>
      <w:r>
        <w:rPr>
          <w:rtl w:val="0"/>
        </w:rPr>
        <w:t>hren Sie Stresstests f</w:t>
      </w:r>
      <w:r>
        <w:rPr>
          <w:rtl w:val="0"/>
        </w:rPr>
        <w:t>ü</w:t>
      </w:r>
      <w:r>
        <w:rPr>
          <w:rtl w:val="0"/>
        </w:rPr>
        <w:t>r Edge Cases durch (z. B. wie reagiert das System auf unvollst</w:t>
      </w:r>
      <w:r>
        <w:rPr>
          <w:rtl w:val="0"/>
        </w:rPr>
        <w:t>ä</w:t>
      </w:r>
      <w:r>
        <w:rPr>
          <w:rtl w:val="0"/>
        </w:rPr>
        <w:t>ndige Eingabedaten?)317.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Praxis-Tipp: Nutzen Sie Frameworks wie ISO/IEC 42001, um Risikomanagementprozesse zu standardisieren810.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3. Vorbereitung der Human-Oversight-Mechanismen</w:t>
      </w:r>
    </w:p>
    <w:p>
      <w:pPr>
        <w:pStyle w:val="Text"/>
        <w:bidi w:val="0"/>
      </w:pPr>
      <w:r>
        <w:rPr>
          <w:rtl w:val="0"/>
        </w:rPr>
        <w:t xml:space="preserve">Artikel 14 verlangt nachweisbare menschliche Aufsicht </w:t>
      </w:r>
      <w:r>
        <w:rPr>
          <w:rtl w:val="0"/>
        </w:rPr>
        <w:t>ü</w:t>
      </w:r>
      <w:r>
        <w:rPr>
          <w:rtl w:val="0"/>
        </w:rPr>
        <w:t>ber alle Hochrisiko-KI-Systeme. F</w:t>
      </w:r>
      <w:r>
        <w:rPr>
          <w:rtl w:val="0"/>
        </w:rPr>
        <w:t>ü</w:t>
      </w:r>
      <w:r>
        <w:rPr>
          <w:rtl w:val="0"/>
        </w:rPr>
        <w:t>r das Audit relevant: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 xml:space="preserve">Interventionsprotokolle: Dokumentieren Sie exemplarisch, wie menschliche Entscheider KI-Empfehlungen </w:t>
      </w:r>
      <w:r>
        <w:rPr>
          <w:rtl w:val="0"/>
        </w:rPr>
        <w:t>ü</w:t>
      </w:r>
      <w:r>
        <w:rPr>
          <w:rtl w:val="0"/>
        </w:rPr>
        <w:t>berpr</w:t>
      </w:r>
      <w:r>
        <w:rPr>
          <w:rtl w:val="0"/>
        </w:rPr>
        <w:t>ü</w:t>
      </w:r>
      <w:r>
        <w:rPr>
          <w:rtl w:val="0"/>
        </w:rPr>
        <w:t>ft/verworfen haben (z. B. bei 5% aller automatisierten Kreditentscheidungen)1215.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Kompetenznachweise: Stellen Sie Schulungsunterlagen f</w:t>
      </w:r>
      <w:r>
        <w:rPr>
          <w:rtl w:val="0"/>
        </w:rPr>
        <w:t>ü</w:t>
      </w:r>
      <w:r>
        <w:rPr>
          <w:rtl w:val="0"/>
        </w:rPr>
        <w:t>r Mitarbeiter bereit, die KI-Ergebnisse interpretieren (Inhalte gem</w:t>
      </w:r>
      <w:r>
        <w:rPr>
          <w:rtl w:val="0"/>
        </w:rPr>
        <w:t xml:space="preserve">äß </w:t>
      </w:r>
      <w:r>
        <w:rPr>
          <w:rtl w:val="0"/>
        </w:rPr>
        <w:t>Artikel 4 und 13)912.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Technische Schnittstellen: Demonstrieren Sie, wie das System Override-Optionen technisch erm</w:t>
      </w:r>
      <w:r>
        <w:rPr>
          <w:rtl w:val="0"/>
          <w:lang w:val="sv-SE"/>
        </w:rPr>
        <w:t>ö</w:t>
      </w:r>
      <w:r>
        <w:rPr>
          <w:rtl w:val="0"/>
        </w:rPr>
        <w:t>glicht (z. B. durch API-Integration in Entscheidungssoftware)617.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4. Durchf</w:t>
      </w:r>
      <w:r>
        <w:rPr>
          <w:rtl w:val="0"/>
        </w:rPr>
        <w:t>ü</w:t>
      </w:r>
      <w:r>
        <w:rPr>
          <w:rtl w:val="0"/>
        </w:rPr>
        <w:t>hrung interner Vorab-Audits</w:t>
      </w:r>
    </w:p>
    <w:p>
      <w:pPr>
        <w:pStyle w:val="Text"/>
        <w:bidi w:val="0"/>
      </w:pPr>
      <w:r>
        <w:rPr>
          <w:rtl w:val="0"/>
        </w:rPr>
        <w:t>Simulieren Sie das beh</w:t>
      </w:r>
      <w:r>
        <w:rPr>
          <w:rtl w:val="0"/>
          <w:lang w:val="sv-SE"/>
        </w:rPr>
        <w:t>ö</w:t>
      </w:r>
      <w:r>
        <w:rPr>
          <w:rtl w:val="0"/>
        </w:rPr>
        <w:t>rdliche Pr</w:t>
      </w:r>
      <w:r>
        <w:rPr>
          <w:rtl w:val="0"/>
        </w:rPr>
        <w:t>ü</w:t>
      </w:r>
      <w:r>
        <w:rPr>
          <w:rtl w:val="0"/>
        </w:rPr>
        <w:t>fverfahren durch: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Checklisten-basierte Selbstbewertung: Orientieren Sie sich an den Konformit</w:t>
      </w:r>
      <w:r>
        <w:rPr>
          <w:rtl w:val="0"/>
        </w:rPr>
        <w:t>ä</w:t>
      </w:r>
      <w:r>
        <w:rPr>
          <w:rtl w:val="0"/>
        </w:rPr>
        <w:t>tskriterien aus Anhang VI36.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Dokumenten-Review: Lassen Sie die technische Dokumentation durch juristische und technische Experten pr</w:t>
      </w:r>
      <w:r>
        <w:rPr>
          <w:rtl w:val="0"/>
        </w:rPr>
        <w:t>ü</w:t>
      </w:r>
      <w:r>
        <w:rPr>
          <w:rtl w:val="0"/>
        </w:rPr>
        <w:t>fen (interne/externe Ressourcen)1114.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Prozesssimulationen: F</w:t>
      </w:r>
      <w:r>
        <w:rPr>
          <w:rtl w:val="0"/>
        </w:rPr>
        <w:t>ü</w:t>
      </w:r>
      <w:r>
        <w:rPr>
          <w:rtl w:val="0"/>
        </w:rPr>
        <w:t>hren Sie Mock-Interviews mit Mitarbeitern durch, um deren Compliance-Bewusstsein zu testen1617.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Fallstudie: Ein Maschinenbauunternehmen identifizierte durch interne Audits L</w:t>
      </w:r>
      <w:r>
        <w:rPr>
          <w:rtl w:val="0"/>
        </w:rPr>
        <w:t>ü</w:t>
      </w:r>
      <w:r>
        <w:rPr>
          <w:rtl w:val="0"/>
        </w:rPr>
        <w:t xml:space="preserve">cken in der Protokollierung von Modelldrifts </w:t>
      </w:r>
      <w:r>
        <w:rPr>
          <w:rtl w:val="0"/>
        </w:rPr>
        <w:t xml:space="preserve">– </w:t>
      </w:r>
      <w:r>
        <w:rPr>
          <w:rtl w:val="0"/>
        </w:rPr>
        <w:t>dies konnte vor dem externen Audit behoben werden710.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5. Externe Zertifizierung und kontinuierliche Verbesserung</w:t>
      </w:r>
    </w:p>
    <w:p>
      <w:pPr>
        <w:pStyle w:val="Text"/>
        <w:bidi w:val="0"/>
      </w:pPr>
      <w:r>
        <w:rPr>
          <w:rtl w:val="0"/>
        </w:rPr>
        <w:t>Obwohl der AI Act keine Pflichtzertifizierung vorschreibt, empfehlen sich freiwillige Ma</w:t>
      </w:r>
      <w:r>
        <w:rPr>
          <w:rtl w:val="0"/>
        </w:rPr>
        <w:t>ß</w:t>
      </w:r>
      <w:r>
        <w:rPr>
          <w:rtl w:val="0"/>
        </w:rPr>
        <w:t>nahmen: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Zertifizierung nach ISO 42001: Dies belegt die Konformit</w:t>
      </w:r>
      <w:r>
        <w:rPr>
          <w:rtl w:val="0"/>
        </w:rPr>
        <w:t>ä</w:t>
      </w:r>
      <w:r>
        <w:rPr>
          <w:rtl w:val="0"/>
        </w:rPr>
        <w:t>t mit internationalen KI-Managementstandards810.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Kooperation mit Benannten Stellen: Einige Pr</w:t>
      </w:r>
      <w:r>
        <w:rPr>
          <w:rtl w:val="0"/>
        </w:rPr>
        <w:t>ü</w:t>
      </w:r>
      <w:r>
        <w:rPr>
          <w:rtl w:val="0"/>
        </w:rPr>
        <w:t>forganisationen (z. B. T</w:t>
      </w:r>
      <w:r>
        <w:rPr>
          <w:rtl w:val="0"/>
        </w:rPr>
        <w:t>Ü</w:t>
      </w:r>
      <w:r>
        <w:rPr>
          <w:rtl w:val="0"/>
        </w:rPr>
        <w:t>V) bieten AI-Act-spezifische Vorabpr</w:t>
      </w:r>
      <w:r>
        <w:rPr>
          <w:rtl w:val="0"/>
        </w:rPr>
        <w:t>ü</w:t>
      </w:r>
      <w:r>
        <w:rPr>
          <w:rtl w:val="0"/>
        </w:rPr>
        <w:t>fungen an1017.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Feedback-Loops: Implementieren Sie Incident-Reporting-Systeme, die Erkenntnisse aus dem Audit in k</w:t>
      </w:r>
      <w:r>
        <w:rPr>
          <w:rtl w:val="0"/>
        </w:rPr>
        <w:t>ü</w:t>
      </w:r>
      <w:r>
        <w:rPr>
          <w:rtl w:val="0"/>
        </w:rPr>
        <w:t>nftige Entwicklungszyklen einspeisen37.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Rechtliche und operative Fallstricke</w:t>
      </w:r>
    </w:p>
    <w:p>
      <w:pPr>
        <w:pStyle w:val="Text"/>
        <w:bidi w:val="0"/>
      </w:pPr>
      <w:r>
        <w:rPr>
          <w:rtl w:val="0"/>
        </w:rPr>
        <w:t>H</w:t>
      </w:r>
      <w:r>
        <w:rPr>
          <w:rtl w:val="0"/>
        </w:rPr>
        <w:t>ä</w:t>
      </w:r>
      <w:r>
        <w:rPr>
          <w:rtl w:val="0"/>
        </w:rPr>
        <w:t>ufige Compliance-L</w:t>
      </w:r>
      <w:r>
        <w:rPr>
          <w:rtl w:val="0"/>
        </w:rPr>
        <w:t>ü</w:t>
      </w:r>
      <w:r>
        <w:rPr>
          <w:rtl w:val="0"/>
        </w:rPr>
        <w:t>cken</w:t>
      </w:r>
    </w:p>
    <w:p>
      <w:pPr>
        <w:pStyle w:val="Text"/>
        <w:bidi w:val="0"/>
      </w:pPr>
      <w:r>
        <w:rPr>
          <w:rtl w:val="0"/>
        </w:rPr>
        <w:t>Unvollst</w:t>
      </w:r>
      <w:r>
        <w:rPr>
          <w:rtl w:val="0"/>
        </w:rPr>
        <w:t>ä</w:t>
      </w:r>
      <w:r>
        <w:rPr>
          <w:rtl w:val="0"/>
        </w:rPr>
        <w:t>ndige Datenprotokolle: Fehlende Dokumentation der Datenquellen f</w:t>
      </w:r>
      <w:r>
        <w:rPr>
          <w:rtl w:val="0"/>
        </w:rPr>
        <w:t>ü</w:t>
      </w:r>
      <w:r>
        <w:rPr>
          <w:rtl w:val="0"/>
        </w:rPr>
        <w:t>r Trainingsdatens</w:t>
      </w:r>
      <w:r>
        <w:rPr>
          <w:rtl w:val="0"/>
        </w:rPr>
        <w:t>ä</w:t>
      </w:r>
      <w:r>
        <w:rPr>
          <w:rtl w:val="0"/>
        </w:rPr>
        <w:t>tze912.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Statisches Risikomanagement: Jahresaktualisierungen gen</w:t>
      </w:r>
      <w:r>
        <w:rPr>
          <w:rtl w:val="0"/>
        </w:rPr>
        <w:t>ü</w:t>
      </w:r>
      <w:r>
        <w:rPr>
          <w:rtl w:val="0"/>
        </w:rPr>
        <w:t xml:space="preserve">gen nicht </w:t>
      </w:r>
      <w:r>
        <w:rPr>
          <w:rtl w:val="0"/>
        </w:rPr>
        <w:t xml:space="preserve">– </w:t>
      </w:r>
      <w:r>
        <w:rPr>
          <w:rtl w:val="0"/>
        </w:rPr>
        <w:t>kontinuierliches Monitoring ist erforderlich315.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Mangelnde Transparenz bei Drittanbietern: Ungekl</w:t>
      </w:r>
      <w:r>
        <w:rPr>
          <w:rtl w:val="0"/>
        </w:rPr>
        <w:t>ä</w:t>
      </w:r>
      <w:r>
        <w:rPr>
          <w:rtl w:val="0"/>
        </w:rPr>
        <w:t>rte Haftungsfragen bei Cloud-basierten KI-L</w:t>
      </w:r>
      <w:r>
        <w:rPr>
          <w:rtl w:val="0"/>
          <w:lang w:val="sv-SE"/>
        </w:rPr>
        <w:t>ö</w:t>
      </w:r>
      <w:r>
        <w:rPr>
          <w:rtl w:val="0"/>
        </w:rPr>
        <w:t>sungen614.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Sanktionsrisiken</w:t>
      </w:r>
    </w:p>
    <w:p>
      <w:pPr>
        <w:pStyle w:val="Text"/>
        <w:bidi w:val="0"/>
      </w:pPr>
      <w:r>
        <w:rPr>
          <w:rtl w:val="0"/>
        </w:rPr>
        <w:t>Bei Verst</w:t>
      </w:r>
      <w:r>
        <w:rPr>
          <w:rtl w:val="0"/>
        </w:rPr>
        <w:t>öß</w:t>
      </w:r>
      <w:r>
        <w:rPr>
          <w:rtl w:val="0"/>
        </w:rPr>
        <w:t>en drohen Bu</w:t>
      </w:r>
      <w:r>
        <w:rPr>
          <w:rtl w:val="0"/>
        </w:rPr>
        <w:t>ß</w:t>
      </w:r>
      <w:r>
        <w:rPr>
          <w:rtl w:val="0"/>
        </w:rPr>
        <w:t>gelder bis zu 30 Mio. Euro oder 6% des weltweiten Umsatzes915. Besonders kritisch: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Unterlassene Meldung von Sicherheitsvorf</w:t>
      </w:r>
      <w:r>
        <w:rPr>
          <w:rtl w:val="0"/>
        </w:rPr>
        <w:t>ä</w:t>
      </w:r>
      <w:r>
        <w:rPr>
          <w:rtl w:val="0"/>
        </w:rPr>
        <w:t>llen (innerhalb 72 Stunden)1217.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Fehlende CE-Kennzeichnung trotz Hochrisiko-Klassifizierung36.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Konkrete Handlungsempfehlungen</w:t>
      </w:r>
    </w:p>
    <w:p>
      <w:pPr>
        <w:pStyle w:val="Text"/>
        <w:bidi w:val="0"/>
      </w:pPr>
      <w:r>
        <w:rPr>
          <w:rtl w:val="0"/>
        </w:rPr>
        <w:t>Dokumentations-Checkliste erstellen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Cross-Reference zwischen AI Act-Anforderungen und firmeneigenen Dokumenten36.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Digitales Repository mit Versionierung aller Compliance-relevanten Unterlagen1016.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AI-Compliance-Team etablieren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Interdisziplin</w:t>
      </w:r>
      <w:r>
        <w:rPr>
          <w:rtl w:val="0"/>
        </w:rPr>
        <w:t>ä</w:t>
      </w:r>
      <w:r>
        <w:rPr>
          <w:rtl w:val="0"/>
        </w:rPr>
        <w:t>re Besetzung (Recht, IT, Fachabteilung)714.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Regelm</w:t>
      </w:r>
      <w:r>
        <w:rPr>
          <w:rtl w:val="0"/>
        </w:rPr>
        <w:t>äß</w:t>
      </w:r>
      <w:r>
        <w:rPr>
          <w:rtl w:val="0"/>
        </w:rPr>
        <w:t>ige Berichterstattung an die Gesch</w:t>
      </w:r>
      <w:r>
        <w:rPr>
          <w:rtl w:val="0"/>
        </w:rPr>
        <w:t>ä</w:t>
      </w:r>
      <w:r>
        <w:rPr>
          <w:rtl w:val="0"/>
        </w:rPr>
        <w:t>ftsf</w:t>
      </w:r>
      <w:r>
        <w:rPr>
          <w:rtl w:val="0"/>
        </w:rPr>
        <w:t>ü</w:t>
      </w:r>
      <w:r>
        <w:rPr>
          <w:rtl w:val="0"/>
        </w:rPr>
        <w:t>hrung1017.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Externe Berater einbinden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Rechtsexperten f</w:t>
      </w:r>
      <w:r>
        <w:rPr>
          <w:rtl w:val="0"/>
        </w:rPr>
        <w:t>ü</w:t>
      </w:r>
      <w:r>
        <w:rPr>
          <w:rtl w:val="0"/>
        </w:rPr>
        <w:t>r Vertragsgestaltung mit KI-Zulieferern1416.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Technische Auditor:innen f</w:t>
      </w:r>
      <w:r>
        <w:rPr>
          <w:rtl w:val="0"/>
        </w:rPr>
        <w:t>ü</w:t>
      </w:r>
      <w:r>
        <w:rPr>
          <w:rtl w:val="0"/>
        </w:rPr>
        <w:t>r Gap-Analysen1117.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Langfristige strategische Implikationen</w:t>
      </w:r>
    </w:p>
    <w:p>
      <w:pPr>
        <w:pStyle w:val="Text"/>
        <w:bidi w:val="0"/>
      </w:pPr>
      <w:r>
        <w:rPr>
          <w:rtl w:val="0"/>
        </w:rPr>
        <w:t>Die Auditvorbereitung sollte nicht als Last, sondern als Chance zur operativen Optimierung verstanden werden: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KI-Governance als USP: Werben Sie mit Audit-Ergebnissen im Marketing ("Certified Ethical AI")57.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Skalierbare Prozesse: Modular aufgebaute Compliance-Systeme erleichtern die Expansion auf weitere KI-Anwendungen1014.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Forschungsf</w:t>
      </w:r>
      <w:r>
        <w:rPr>
          <w:rtl w:val="0"/>
          <w:lang w:val="sv-SE"/>
        </w:rPr>
        <w:t>ö</w:t>
      </w:r>
      <w:r>
        <w:rPr>
          <w:rtl w:val="0"/>
        </w:rPr>
        <w:t>rderung: Nutzen Sie EU-F</w:t>
      </w:r>
      <w:r>
        <w:rPr>
          <w:rtl w:val="0"/>
          <w:lang w:val="sv-SE"/>
        </w:rPr>
        <w:t>ö</w:t>
      </w:r>
      <w:r>
        <w:rPr>
          <w:rtl w:val="0"/>
        </w:rPr>
        <w:t>rdert</w:t>
      </w:r>
      <w:r>
        <w:rPr>
          <w:rtl w:val="0"/>
          <w:lang w:val="sv-SE"/>
        </w:rPr>
        <w:t>ö</w:t>
      </w:r>
      <w:r>
        <w:rPr>
          <w:rtl w:val="0"/>
        </w:rPr>
        <w:t>pfe f</w:t>
      </w:r>
      <w:r>
        <w:rPr>
          <w:rtl w:val="0"/>
        </w:rPr>
        <w:t>ü</w:t>
      </w:r>
      <w:r>
        <w:rPr>
          <w:rtl w:val="0"/>
        </w:rPr>
        <w:t>r KI-Sicherheitsforschung (Horizon Europe Calls)315.</w:t>
      </w:r>
    </w:p>
    <w:p>
      <w:pPr>
        <w:pStyle w:val="Text"/>
        <w:bidi w:val="0"/>
      </w:pPr>
    </w:p>
    <w:p>
      <w:pPr>
        <w:pStyle w:val="Text"/>
        <w:bidi w:val="0"/>
      </w:pPr>
      <w:r>
        <w:rPr>
          <w:rtl w:val="0"/>
        </w:rPr>
        <w:t>Fazit</w:t>
      </w:r>
    </w:p>
    <w:p>
      <w:pPr>
        <w:pStyle w:val="Text"/>
        <w:bidi w:val="0"/>
      </w:pPr>
      <w:r>
        <w:rPr>
          <w:rtl w:val="0"/>
        </w:rPr>
        <w:t>Die Pr</w:t>
      </w:r>
      <w:r>
        <w:rPr>
          <w:rtl w:val="0"/>
        </w:rPr>
        <w:t>ü</w:t>
      </w:r>
      <w:r>
        <w:rPr>
          <w:rtl w:val="0"/>
        </w:rPr>
        <w:t>fungsvorbereitung f</w:t>
      </w:r>
      <w:r>
        <w:rPr>
          <w:rtl w:val="0"/>
        </w:rPr>
        <w:t>ü</w:t>
      </w:r>
      <w:r>
        <w:rPr>
          <w:rtl w:val="0"/>
        </w:rPr>
        <w:t>r Hochrisiko-KI-Systeme erfordert eine Symbiose aus technischer Pr</w:t>
      </w:r>
      <w:r>
        <w:rPr>
          <w:rtl w:val="0"/>
        </w:rPr>
        <w:t>ä</w:t>
      </w:r>
      <w:r>
        <w:rPr>
          <w:rtl w:val="0"/>
        </w:rPr>
        <w:t>zision, organisatorischer Klarheit und juristischer Wachsamkeit. Durch die systematische Umsetzung der f</w:t>
      </w:r>
      <w:r>
        <w:rPr>
          <w:rtl w:val="0"/>
        </w:rPr>
        <w:t>ü</w:t>
      </w:r>
      <w:r>
        <w:rPr>
          <w:rtl w:val="0"/>
        </w:rPr>
        <w:t xml:space="preserve">nf Phasen </w:t>
      </w:r>
      <w:r>
        <w:rPr>
          <w:rtl w:val="0"/>
        </w:rPr>
        <w:t xml:space="preserve">– </w:t>
      </w:r>
      <w:r>
        <w:rPr>
          <w:rtl w:val="0"/>
        </w:rPr>
        <w:t xml:space="preserve">von der Dokumentenvalidierung bis zur externen Zertifizierung </w:t>
      </w:r>
      <w:r>
        <w:rPr>
          <w:rtl w:val="0"/>
        </w:rPr>
        <w:t xml:space="preserve">– </w:t>
      </w:r>
      <w:r>
        <w:rPr>
          <w:rtl w:val="0"/>
        </w:rPr>
        <w:t>positionieren Sie Ihr Unternehmen nicht nur als compliant, sondern auch als Vorreiter im verantwortungsvollen KI-Einsatz. Der Schl</w:t>
      </w:r>
      <w:r>
        <w:rPr>
          <w:rtl w:val="0"/>
        </w:rPr>
        <w:t>ü</w:t>
      </w:r>
      <w:r>
        <w:rPr>
          <w:rtl w:val="0"/>
        </w:rPr>
        <w:t>ssel liegt in der Verankerung eines lebendigen Compliance-Kultur, die KI-Sicherheit als kontinuierlichen Verbesserungsprozess begreift.</w:t>
      </w:r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Deutsch" w:val="‘“(〔[{〈《「『【⦅〘〖«〝︵︷︹︻︽︿﹁﹃﹇﹙﹛﹝｢"/>
  <w:noLineBreaksBefore w:lang="Deutsc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ext">
    <w:name w:val="Text"/>
    <w:next w:val="Tex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shd w:val="nil" w:color="auto" w:fill="auto"/>
      <w:vertAlign w:val="baseline"/>
      <w:lang w:val="de-DE"/>
      <w14:textOutline>
        <w14:noFill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